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7DC6" w14:textId="6A0EF911" w:rsidR="00E01657" w:rsidRDefault="00E01657" w:rsidP="00E01657">
      <w:pPr>
        <w:jc w:val="center"/>
        <w:rPr>
          <w:rFonts w:ascii="Times New Roman" w:hAnsi="Times New Roman" w:cs="Times New Roman"/>
          <w:b/>
          <w:bCs/>
          <w:sz w:val="24"/>
          <w:szCs w:val="24"/>
        </w:rPr>
      </w:pPr>
      <w:bookmarkStart w:id="0" w:name="_Hlk124949308"/>
      <w:r w:rsidRPr="00E01657">
        <w:rPr>
          <w:rFonts w:ascii="Times New Roman" w:hAnsi="Times New Roman" w:cs="Times New Roman"/>
          <w:b/>
          <w:bCs/>
          <w:noProof/>
          <w:sz w:val="24"/>
          <w:szCs w:val="24"/>
        </w:rPr>
        <w:drawing>
          <wp:inline distT="0" distB="0" distL="0" distR="0" wp14:anchorId="5B75E6B4" wp14:editId="6962824F">
            <wp:extent cx="2133785" cy="769687"/>
            <wp:effectExtent l="0" t="0" r="0" b="0"/>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pic:nvPicPr>
                  <pic:blipFill>
                    <a:blip r:embed="rId4"/>
                    <a:stretch>
                      <a:fillRect/>
                    </a:stretch>
                  </pic:blipFill>
                  <pic:spPr>
                    <a:xfrm>
                      <a:off x="0" y="0"/>
                      <a:ext cx="2133785" cy="769687"/>
                    </a:xfrm>
                    <a:prstGeom prst="rect">
                      <a:avLst/>
                    </a:prstGeom>
                  </pic:spPr>
                </pic:pic>
              </a:graphicData>
            </a:graphic>
          </wp:inline>
        </w:drawing>
      </w:r>
    </w:p>
    <w:p w14:paraId="15576D1E" w14:textId="77777777" w:rsidR="00E01657" w:rsidRDefault="00E01657" w:rsidP="00E01657">
      <w:pPr>
        <w:rPr>
          <w:rFonts w:ascii="Times New Roman" w:hAnsi="Times New Roman" w:cs="Times New Roman"/>
          <w:b/>
          <w:bCs/>
          <w:sz w:val="24"/>
          <w:szCs w:val="24"/>
        </w:rPr>
      </w:pPr>
    </w:p>
    <w:p w14:paraId="3E901E66" w14:textId="032DF688" w:rsidR="00E01657" w:rsidRPr="00DA50A3" w:rsidRDefault="00E01657" w:rsidP="00E01657">
      <w:pPr>
        <w:rPr>
          <w:rFonts w:ascii="Times New Roman" w:hAnsi="Times New Roman" w:cs="Times New Roman"/>
          <w:b/>
          <w:bCs/>
          <w:sz w:val="24"/>
          <w:szCs w:val="24"/>
        </w:rPr>
      </w:pPr>
      <w:r w:rsidRPr="00DA50A3">
        <w:rPr>
          <w:rFonts w:ascii="Times New Roman" w:hAnsi="Times New Roman" w:cs="Times New Roman"/>
          <w:b/>
          <w:bCs/>
          <w:sz w:val="24"/>
          <w:szCs w:val="24"/>
        </w:rPr>
        <w:t>Papildoma informacija:</w:t>
      </w:r>
    </w:p>
    <w:p w14:paraId="39EB13AF" w14:textId="77777777" w:rsidR="00E01657" w:rsidRPr="00B00B4B" w:rsidRDefault="00E01657" w:rsidP="00E01657">
      <w:pPr>
        <w:rPr>
          <w:rFonts w:ascii="Times New Roman" w:hAnsi="Times New Roman" w:cs="Times New Roman"/>
          <w:i/>
          <w:iCs/>
          <w:sz w:val="24"/>
          <w:szCs w:val="24"/>
        </w:rPr>
      </w:pPr>
      <w:r>
        <w:rPr>
          <w:rFonts w:ascii="Times New Roman" w:hAnsi="Times New Roman" w:cs="Times New Roman"/>
          <w:sz w:val="24"/>
          <w:szCs w:val="24"/>
        </w:rPr>
        <w:t xml:space="preserve">Viešieji pirkimai susideda iš dviejų esminių blokų: </w:t>
      </w:r>
      <w:r w:rsidRPr="001E3EF6">
        <w:rPr>
          <w:rFonts w:ascii="Times New Roman" w:hAnsi="Times New Roman" w:cs="Times New Roman"/>
          <w:i/>
          <w:iCs/>
          <w:sz w:val="24"/>
          <w:szCs w:val="24"/>
        </w:rPr>
        <w:t>bendros taisyklės ar principai</w:t>
      </w:r>
      <w:r>
        <w:rPr>
          <w:rFonts w:ascii="Times New Roman" w:hAnsi="Times New Roman" w:cs="Times New Roman"/>
          <w:sz w:val="24"/>
          <w:szCs w:val="24"/>
        </w:rPr>
        <w:t xml:space="preserve"> ir </w:t>
      </w:r>
      <w:r w:rsidRPr="001E3EF6">
        <w:rPr>
          <w:rFonts w:ascii="Times New Roman" w:hAnsi="Times New Roman" w:cs="Times New Roman"/>
          <w:i/>
          <w:iCs/>
          <w:sz w:val="24"/>
          <w:szCs w:val="24"/>
        </w:rPr>
        <w:t xml:space="preserve">pirkimo vykdymas. </w:t>
      </w:r>
    </w:p>
    <w:tbl>
      <w:tblPr>
        <w:tblStyle w:val="TableGrid"/>
        <w:tblW w:w="0" w:type="auto"/>
        <w:tblLook w:val="04A0" w:firstRow="1" w:lastRow="0" w:firstColumn="1" w:lastColumn="0" w:noHBand="0" w:noVBand="1"/>
      </w:tblPr>
      <w:tblGrid>
        <w:gridCol w:w="3775"/>
        <w:gridCol w:w="1620"/>
        <w:gridCol w:w="1617"/>
        <w:gridCol w:w="2338"/>
      </w:tblGrid>
      <w:tr w:rsidR="00E01657" w14:paraId="3B63D9CA" w14:textId="77777777" w:rsidTr="00E01657">
        <w:tc>
          <w:tcPr>
            <w:tcW w:w="3775" w:type="dxa"/>
            <w:shd w:val="clear" w:color="auto" w:fill="BFBFBF" w:themeFill="background1" w:themeFillShade="BF"/>
          </w:tcPr>
          <w:p w14:paraId="0A5EF83E" w14:textId="77777777" w:rsidR="00E01657" w:rsidRPr="00B00B4B" w:rsidRDefault="00E01657" w:rsidP="00A4709C">
            <w:pPr>
              <w:spacing w:line="276" w:lineRule="auto"/>
              <w:jc w:val="center"/>
              <w:rPr>
                <w:rFonts w:ascii="Times New Roman" w:hAnsi="Times New Roman" w:cs="Times New Roman"/>
                <w:b/>
                <w:bCs/>
                <w:sz w:val="24"/>
                <w:szCs w:val="24"/>
              </w:rPr>
            </w:pPr>
            <w:r w:rsidRPr="00B00B4B">
              <w:rPr>
                <w:rFonts w:ascii="Times New Roman" w:hAnsi="Times New Roman" w:cs="Times New Roman"/>
                <w:b/>
                <w:bCs/>
                <w:sz w:val="24"/>
                <w:szCs w:val="24"/>
              </w:rPr>
              <w:t>Tema</w:t>
            </w:r>
          </w:p>
        </w:tc>
        <w:tc>
          <w:tcPr>
            <w:tcW w:w="3237" w:type="dxa"/>
            <w:gridSpan w:val="2"/>
            <w:shd w:val="clear" w:color="auto" w:fill="BFBFBF" w:themeFill="background1" w:themeFillShade="BF"/>
          </w:tcPr>
          <w:p w14:paraId="786629ED" w14:textId="77777777" w:rsidR="00E01657" w:rsidRPr="00B00B4B" w:rsidRDefault="00E01657" w:rsidP="00A4709C">
            <w:pPr>
              <w:spacing w:line="276" w:lineRule="auto"/>
              <w:jc w:val="center"/>
              <w:rPr>
                <w:rFonts w:ascii="Times New Roman" w:hAnsi="Times New Roman" w:cs="Times New Roman"/>
                <w:b/>
                <w:bCs/>
                <w:sz w:val="24"/>
                <w:szCs w:val="24"/>
              </w:rPr>
            </w:pPr>
            <w:r w:rsidRPr="00B00B4B">
              <w:rPr>
                <w:rFonts w:ascii="Times New Roman" w:hAnsi="Times New Roman" w:cs="Times New Roman"/>
                <w:b/>
                <w:bCs/>
                <w:sz w:val="24"/>
                <w:szCs w:val="24"/>
              </w:rPr>
              <w:t>Domina</w:t>
            </w:r>
          </w:p>
        </w:tc>
        <w:tc>
          <w:tcPr>
            <w:tcW w:w="2338" w:type="dxa"/>
            <w:shd w:val="clear" w:color="auto" w:fill="BFBFBF" w:themeFill="background1" w:themeFillShade="BF"/>
          </w:tcPr>
          <w:p w14:paraId="02636D46" w14:textId="77777777" w:rsidR="00E01657" w:rsidRPr="00B00B4B" w:rsidRDefault="00E01657" w:rsidP="00A4709C">
            <w:pPr>
              <w:spacing w:line="276" w:lineRule="auto"/>
              <w:jc w:val="center"/>
              <w:rPr>
                <w:rFonts w:ascii="Times New Roman" w:hAnsi="Times New Roman" w:cs="Times New Roman"/>
                <w:b/>
                <w:bCs/>
                <w:sz w:val="24"/>
                <w:szCs w:val="24"/>
              </w:rPr>
            </w:pPr>
            <w:r w:rsidRPr="00B00B4B">
              <w:rPr>
                <w:rFonts w:ascii="Times New Roman" w:hAnsi="Times New Roman" w:cs="Times New Roman"/>
                <w:b/>
                <w:bCs/>
                <w:sz w:val="24"/>
                <w:szCs w:val="24"/>
              </w:rPr>
              <w:t>Pastabos</w:t>
            </w:r>
          </w:p>
        </w:tc>
      </w:tr>
      <w:tr w:rsidR="00E01657" w14:paraId="2FA11363" w14:textId="77777777" w:rsidTr="00E01657">
        <w:tc>
          <w:tcPr>
            <w:tcW w:w="3775" w:type="dxa"/>
            <w:shd w:val="clear" w:color="auto" w:fill="D9D9D9" w:themeFill="background1" w:themeFillShade="D9"/>
          </w:tcPr>
          <w:p w14:paraId="00A6FF8B" w14:textId="77777777" w:rsidR="00E01657" w:rsidRDefault="00E01657" w:rsidP="00A4709C">
            <w:pPr>
              <w:spacing w:line="276" w:lineRule="auto"/>
              <w:jc w:val="center"/>
              <w:rPr>
                <w:rFonts w:ascii="Times New Roman" w:hAnsi="Times New Roman" w:cs="Times New Roman"/>
                <w:sz w:val="24"/>
                <w:szCs w:val="24"/>
              </w:rPr>
            </w:pPr>
          </w:p>
        </w:tc>
        <w:tc>
          <w:tcPr>
            <w:tcW w:w="1620" w:type="dxa"/>
            <w:shd w:val="clear" w:color="auto" w:fill="D9D9D9" w:themeFill="background1" w:themeFillShade="D9"/>
          </w:tcPr>
          <w:p w14:paraId="21A623DB" w14:textId="77777777" w:rsidR="00E01657" w:rsidRPr="00B00B4B" w:rsidRDefault="00E01657" w:rsidP="00A4709C">
            <w:pPr>
              <w:spacing w:line="276" w:lineRule="auto"/>
              <w:jc w:val="center"/>
              <w:rPr>
                <w:rFonts w:ascii="Times New Roman" w:hAnsi="Times New Roman" w:cs="Times New Roman"/>
                <w:b/>
                <w:bCs/>
                <w:sz w:val="24"/>
                <w:szCs w:val="24"/>
              </w:rPr>
            </w:pPr>
            <w:r w:rsidRPr="00B00B4B">
              <w:rPr>
                <w:rFonts w:ascii="Times New Roman" w:hAnsi="Times New Roman" w:cs="Times New Roman"/>
                <w:b/>
                <w:bCs/>
                <w:sz w:val="24"/>
                <w:szCs w:val="24"/>
              </w:rPr>
              <w:t>Taip</w:t>
            </w:r>
          </w:p>
        </w:tc>
        <w:tc>
          <w:tcPr>
            <w:tcW w:w="1617" w:type="dxa"/>
            <w:shd w:val="clear" w:color="auto" w:fill="D9D9D9" w:themeFill="background1" w:themeFillShade="D9"/>
          </w:tcPr>
          <w:p w14:paraId="7DBA506A" w14:textId="77777777" w:rsidR="00E01657" w:rsidRPr="00B00B4B" w:rsidRDefault="00E01657" w:rsidP="00A4709C">
            <w:pPr>
              <w:spacing w:line="276" w:lineRule="auto"/>
              <w:jc w:val="center"/>
              <w:rPr>
                <w:rFonts w:ascii="Times New Roman" w:hAnsi="Times New Roman" w:cs="Times New Roman"/>
                <w:b/>
                <w:bCs/>
                <w:sz w:val="24"/>
                <w:szCs w:val="24"/>
              </w:rPr>
            </w:pPr>
            <w:r w:rsidRPr="00B00B4B">
              <w:rPr>
                <w:rFonts w:ascii="Times New Roman" w:hAnsi="Times New Roman" w:cs="Times New Roman"/>
                <w:b/>
                <w:bCs/>
                <w:sz w:val="24"/>
                <w:szCs w:val="24"/>
              </w:rPr>
              <w:t>Ne</w:t>
            </w:r>
          </w:p>
        </w:tc>
        <w:tc>
          <w:tcPr>
            <w:tcW w:w="2338" w:type="dxa"/>
            <w:shd w:val="clear" w:color="auto" w:fill="D9D9D9" w:themeFill="background1" w:themeFillShade="D9"/>
          </w:tcPr>
          <w:p w14:paraId="6FABDF43" w14:textId="77777777" w:rsidR="00E01657" w:rsidRDefault="00E01657" w:rsidP="00A4709C">
            <w:pPr>
              <w:spacing w:line="276" w:lineRule="auto"/>
              <w:rPr>
                <w:rFonts w:ascii="Times New Roman" w:hAnsi="Times New Roman" w:cs="Times New Roman"/>
                <w:sz w:val="24"/>
                <w:szCs w:val="24"/>
              </w:rPr>
            </w:pPr>
          </w:p>
        </w:tc>
      </w:tr>
      <w:tr w:rsidR="00E01657" w14:paraId="50AACCC2" w14:textId="77777777" w:rsidTr="00A4709C">
        <w:tc>
          <w:tcPr>
            <w:tcW w:w="3775" w:type="dxa"/>
          </w:tcPr>
          <w:p w14:paraId="51719528" w14:textId="77777777" w:rsidR="00E01657" w:rsidRPr="00DC6569" w:rsidRDefault="00E01657" w:rsidP="00A4709C">
            <w:pPr>
              <w:spacing w:line="276" w:lineRule="auto"/>
              <w:rPr>
                <w:rFonts w:ascii="Times New Roman" w:hAnsi="Times New Roman" w:cs="Times New Roman"/>
                <w:sz w:val="24"/>
                <w:szCs w:val="24"/>
              </w:rPr>
            </w:pPr>
            <w:r>
              <w:rPr>
                <w:rFonts w:ascii="Times New Roman" w:hAnsi="Times New Roman" w:cs="Times New Roman"/>
                <w:b/>
                <w:bCs/>
                <w:sz w:val="24"/>
                <w:szCs w:val="24"/>
              </w:rPr>
              <w:t>1.</w:t>
            </w:r>
            <w:r w:rsidRPr="00DC6569">
              <w:rPr>
                <w:rFonts w:ascii="Times New Roman" w:hAnsi="Times New Roman" w:cs="Times New Roman"/>
                <w:b/>
                <w:bCs/>
                <w:sz w:val="24"/>
                <w:szCs w:val="24"/>
              </w:rPr>
              <w:t>Bendrosios taisyklės:</w:t>
            </w:r>
          </w:p>
        </w:tc>
        <w:tc>
          <w:tcPr>
            <w:tcW w:w="1620" w:type="dxa"/>
          </w:tcPr>
          <w:p w14:paraId="0D73F15B" w14:textId="77777777" w:rsidR="00E01657" w:rsidRDefault="00E01657" w:rsidP="00A4709C">
            <w:pPr>
              <w:spacing w:line="276" w:lineRule="auto"/>
              <w:rPr>
                <w:rFonts w:ascii="Times New Roman" w:hAnsi="Times New Roman" w:cs="Times New Roman"/>
                <w:sz w:val="24"/>
                <w:szCs w:val="24"/>
              </w:rPr>
            </w:pPr>
          </w:p>
        </w:tc>
        <w:tc>
          <w:tcPr>
            <w:tcW w:w="1617" w:type="dxa"/>
          </w:tcPr>
          <w:p w14:paraId="33FEF106" w14:textId="77777777" w:rsidR="00E01657" w:rsidRDefault="00E01657" w:rsidP="00A4709C">
            <w:pPr>
              <w:spacing w:line="276" w:lineRule="auto"/>
              <w:rPr>
                <w:rFonts w:ascii="Times New Roman" w:hAnsi="Times New Roman" w:cs="Times New Roman"/>
                <w:sz w:val="24"/>
                <w:szCs w:val="24"/>
              </w:rPr>
            </w:pPr>
          </w:p>
        </w:tc>
        <w:tc>
          <w:tcPr>
            <w:tcW w:w="2338" w:type="dxa"/>
          </w:tcPr>
          <w:p w14:paraId="56713929" w14:textId="77777777" w:rsidR="00E01657" w:rsidRDefault="00E01657" w:rsidP="00A4709C">
            <w:pPr>
              <w:spacing w:line="276" w:lineRule="auto"/>
              <w:rPr>
                <w:rFonts w:ascii="Times New Roman" w:hAnsi="Times New Roman" w:cs="Times New Roman"/>
                <w:sz w:val="24"/>
                <w:szCs w:val="24"/>
              </w:rPr>
            </w:pPr>
          </w:p>
        </w:tc>
      </w:tr>
      <w:tr w:rsidR="00E01657" w14:paraId="4295B4CE" w14:textId="77777777" w:rsidTr="00A4709C">
        <w:tc>
          <w:tcPr>
            <w:tcW w:w="3775" w:type="dxa"/>
          </w:tcPr>
          <w:p w14:paraId="437E19C6"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1.1   Tiekėjai – kas tai?</w:t>
            </w:r>
          </w:p>
        </w:tc>
        <w:tc>
          <w:tcPr>
            <w:tcW w:w="1620" w:type="dxa"/>
          </w:tcPr>
          <w:p w14:paraId="57AF9EF7" w14:textId="77777777" w:rsidR="00E01657" w:rsidRDefault="00E01657" w:rsidP="00A4709C">
            <w:pPr>
              <w:spacing w:line="276" w:lineRule="auto"/>
              <w:rPr>
                <w:rFonts w:ascii="Times New Roman" w:hAnsi="Times New Roman" w:cs="Times New Roman"/>
                <w:sz w:val="24"/>
                <w:szCs w:val="24"/>
              </w:rPr>
            </w:pPr>
          </w:p>
        </w:tc>
        <w:tc>
          <w:tcPr>
            <w:tcW w:w="1617" w:type="dxa"/>
          </w:tcPr>
          <w:p w14:paraId="07724200" w14:textId="77777777" w:rsidR="00E01657" w:rsidRDefault="00E01657" w:rsidP="00A4709C">
            <w:pPr>
              <w:spacing w:line="276" w:lineRule="auto"/>
              <w:rPr>
                <w:rFonts w:ascii="Times New Roman" w:hAnsi="Times New Roman" w:cs="Times New Roman"/>
                <w:sz w:val="24"/>
                <w:szCs w:val="24"/>
              </w:rPr>
            </w:pPr>
          </w:p>
        </w:tc>
        <w:tc>
          <w:tcPr>
            <w:tcW w:w="2338" w:type="dxa"/>
          </w:tcPr>
          <w:p w14:paraId="455AAC6D" w14:textId="77777777" w:rsidR="00E01657" w:rsidRDefault="00E01657" w:rsidP="00A4709C">
            <w:pPr>
              <w:spacing w:line="276" w:lineRule="auto"/>
              <w:rPr>
                <w:rFonts w:ascii="Times New Roman" w:hAnsi="Times New Roman" w:cs="Times New Roman"/>
                <w:sz w:val="24"/>
                <w:szCs w:val="24"/>
              </w:rPr>
            </w:pPr>
          </w:p>
        </w:tc>
      </w:tr>
      <w:tr w:rsidR="00E01657" w14:paraId="3BE096FF" w14:textId="77777777" w:rsidTr="00A4709C">
        <w:tc>
          <w:tcPr>
            <w:tcW w:w="3775" w:type="dxa"/>
          </w:tcPr>
          <w:p w14:paraId="04460933"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1.2 Pirkimą atliekantys asmenys. Perkančioji organizacija turi paskirti Pirkimo iniciatorius bei sudaryti pirkimo komisijas.</w:t>
            </w:r>
          </w:p>
        </w:tc>
        <w:tc>
          <w:tcPr>
            <w:tcW w:w="1620" w:type="dxa"/>
          </w:tcPr>
          <w:p w14:paraId="0DDB8C26" w14:textId="77777777" w:rsidR="00E01657" w:rsidRDefault="00E01657" w:rsidP="00A4709C">
            <w:pPr>
              <w:spacing w:line="276" w:lineRule="auto"/>
              <w:rPr>
                <w:rFonts w:ascii="Times New Roman" w:hAnsi="Times New Roman" w:cs="Times New Roman"/>
                <w:sz w:val="24"/>
                <w:szCs w:val="24"/>
              </w:rPr>
            </w:pPr>
          </w:p>
        </w:tc>
        <w:tc>
          <w:tcPr>
            <w:tcW w:w="1617" w:type="dxa"/>
          </w:tcPr>
          <w:p w14:paraId="3A9C3E22" w14:textId="77777777" w:rsidR="00E01657" w:rsidRDefault="00E01657" w:rsidP="00A4709C">
            <w:pPr>
              <w:spacing w:line="276" w:lineRule="auto"/>
              <w:rPr>
                <w:rFonts w:ascii="Times New Roman" w:hAnsi="Times New Roman" w:cs="Times New Roman"/>
                <w:sz w:val="24"/>
                <w:szCs w:val="24"/>
              </w:rPr>
            </w:pPr>
          </w:p>
        </w:tc>
        <w:tc>
          <w:tcPr>
            <w:tcW w:w="2338" w:type="dxa"/>
          </w:tcPr>
          <w:p w14:paraId="17087E43" w14:textId="77777777" w:rsidR="00E01657" w:rsidRDefault="00E01657" w:rsidP="00A4709C">
            <w:pPr>
              <w:spacing w:line="276" w:lineRule="auto"/>
              <w:rPr>
                <w:rFonts w:ascii="Times New Roman" w:hAnsi="Times New Roman" w:cs="Times New Roman"/>
                <w:sz w:val="24"/>
                <w:szCs w:val="24"/>
              </w:rPr>
            </w:pPr>
          </w:p>
        </w:tc>
      </w:tr>
      <w:tr w:rsidR="00E01657" w14:paraId="3C54618B" w14:textId="77777777" w:rsidTr="00A4709C">
        <w:tc>
          <w:tcPr>
            <w:tcW w:w="3775" w:type="dxa"/>
          </w:tcPr>
          <w:p w14:paraId="320D997E"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1.3 Interesų konfliktas perkančioje organizacijoje</w:t>
            </w:r>
          </w:p>
        </w:tc>
        <w:tc>
          <w:tcPr>
            <w:tcW w:w="1620" w:type="dxa"/>
          </w:tcPr>
          <w:p w14:paraId="4EC63CFB" w14:textId="77777777" w:rsidR="00E01657" w:rsidRDefault="00E01657" w:rsidP="00A4709C">
            <w:pPr>
              <w:spacing w:line="276" w:lineRule="auto"/>
              <w:rPr>
                <w:rFonts w:ascii="Times New Roman" w:hAnsi="Times New Roman" w:cs="Times New Roman"/>
                <w:sz w:val="24"/>
                <w:szCs w:val="24"/>
              </w:rPr>
            </w:pPr>
          </w:p>
        </w:tc>
        <w:tc>
          <w:tcPr>
            <w:tcW w:w="1617" w:type="dxa"/>
          </w:tcPr>
          <w:p w14:paraId="261E4A98" w14:textId="77777777" w:rsidR="00E01657" w:rsidRDefault="00E01657" w:rsidP="00A4709C">
            <w:pPr>
              <w:spacing w:line="276" w:lineRule="auto"/>
              <w:rPr>
                <w:rFonts w:ascii="Times New Roman" w:hAnsi="Times New Roman" w:cs="Times New Roman"/>
                <w:sz w:val="24"/>
                <w:szCs w:val="24"/>
              </w:rPr>
            </w:pPr>
          </w:p>
        </w:tc>
        <w:tc>
          <w:tcPr>
            <w:tcW w:w="2338" w:type="dxa"/>
          </w:tcPr>
          <w:p w14:paraId="732061C9" w14:textId="77777777" w:rsidR="00E01657" w:rsidRDefault="00E01657" w:rsidP="00A4709C">
            <w:pPr>
              <w:spacing w:line="276" w:lineRule="auto"/>
              <w:rPr>
                <w:rFonts w:ascii="Times New Roman" w:hAnsi="Times New Roman" w:cs="Times New Roman"/>
                <w:sz w:val="24"/>
                <w:szCs w:val="24"/>
              </w:rPr>
            </w:pPr>
          </w:p>
        </w:tc>
      </w:tr>
      <w:tr w:rsidR="00E01657" w14:paraId="748E4EBD" w14:textId="77777777" w:rsidTr="00A4709C">
        <w:tc>
          <w:tcPr>
            <w:tcW w:w="3775" w:type="dxa"/>
          </w:tcPr>
          <w:p w14:paraId="0C2EDF5A"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1.4 Pirkimų planai. Sudaromas metinis pirkimų planas, tvirtinamas vadovo ir priklausomai nuo apimties, jis yra viešinamas.</w:t>
            </w:r>
          </w:p>
        </w:tc>
        <w:tc>
          <w:tcPr>
            <w:tcW w:w="1620" w:type="dxa"/>
          </w:tcPr>
          <w:p w14:paraId="7D3B289A" w14:textId="77777777" w:rsidR="00E01657" w:rsidRDefault="00E01657" w:rsidP="00A4709C">
            <w:pPr>
              <w:spacing w:line="276" w:lineRule="auto"/>
              <w:rPr>
                <w:rFonts w:ascii="Times New Roman" w:hAnsi="Times New Roman" w:cs="Times New Roman"/>
                <w:sz w:val="24"/>
                <w:szCs w:val="24"/>
              </w:rPr>
            </w:pPr>
          </w:p>
        </w:tc>
        <w:tc>
          <w:tcPr>
            <w:tcW w:w="1617" w:type="dxa"/>
          </w:tcPr>
          <w:p w14:paraId="6191A2E4" w14:textId="77777777" w:rsidR="00E01657" w:rsidRDefault="00E01657" w:rsidP="00A4709C">
            <w:pPr>
              <w:spacing w:line="276" w:lineRule="auto"/>
              <w:rPr>
                <w:rFonts w:ascii="Times New Roman" w:hAnsi="Times New Roman" w:cs="Times New Roman"/>
                <w:sz w:val="24"/>
                <w:szCs w:val="24"/>
              </w:rPr>
            </w:pPr>
          </w:p>
        </w:tc>
        <w:tc>
          <w:tcPr>
            <w:tcW w:w="2338" w:type="dxa"/>
          </w:tcPr>
          <w:p w14:paraId="2B22E3EA" w14:textId="77777777" w:rsidR="00E01657" w:rsidRDefault="00E01657" w:rsidP="00A4709C">
            <w:pPr>
              <w:spacing w:line="276" w:lineRule="auto"/>
              <w:rPr>
                <w:rFonts w:ascii="Times New Roman" w:hAnsi="Times New Roman" w:cs="Times New Roman"/>
                <w:sz w:val="24"/>
                <w:szCs w:val="24"/>
              </w:rPr>
            </w:pPr>
          </w:p>
        </w:tc>
      </w:tr>
      <w:tr w:rsidR="00E01657" w14:paraId="54F591F5" w14:textId="77777777" w:rsidTr="00A4709C">
        <w:tc>
          <w:tcPr>
            <w:tcW w:w="3775" w:type="dxa"/>
          </w:tcPr>
          <w:p w14:paraId="126F947C"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1.5  Taisyklės, kurias turi pasitvirtinti įstaiga, jos yra rekomenduojamos, tereikia pritaikyti pagal įstaigos poreikius</w:t>
            </w:r>
          </w:p>
        </w:tc>
        <w:tc>
          <w:tcPr>
            <w:tcW w:w="1620" w:type="dxa"/>
          </w:tcPr>
          <w:p w14:paraId="5DA01B35" w14:textId="77777777" w:rsidR="00E01657" w:rsidRDefault="00E01657" w:rsidP="00A4709C">
            <w:pPr>
              <w:spacing w:line="276" w:lineRule="auto"/>
              <w:rPr>
                <w:rFonts w:ascii="Times New Roman" w:hAnsi="Times New Roman" w:cs="Times New Roman"/>
                <w:sz w:val="24"/>
                <w:szCs w:val="24"/>
              </w:rPr>
            </w:pPr>
          </w:p>
        </w:tc>
        <w:tc>
          <w:tcPr>
            <w:tcW w:w="1617" w:type="dxa"/>
          </w:tcPr>
          <w:p w14:paraId="6240A900" w14:textId="77777777" w:rsidR="00E01657" w:rsidRDefault="00E01657" w:rsidP="00A4709C">
            <w:pPr>
              <w:spacing w:line="276" w:lineRule="auto"/>
              <w:rPr>
                <w:rFonts w:ascii="Times New Roman" w:hAnsi="Times New Roman" w:cs="Times New Roman"/>
                <w:sz w:val="24"/>
                <w:szCs w:val="24"/>
              </w:rPr>
            </w:pPr>
          </w:p>
        </w:tc>
        <w:tc>
          <w:tcPr>
            <w:tcW w:w="2338" w:type="dxa"/>
          </w:tcPr>
          <w:p w14:paraId="65A062A7" w14:textId="77777777" w:rsidR="00E01657" w:rsidRDefault="00E01657" w:rsidP="00A4709C">
            <w:pPr>
              <w:spacing w:line="276" w:lineRule="auto"/>
              <w:rPr>
                <w:rFonts w:ascii="Times New Roman" w:hAnsi="Times New Roman" w:cs="Times New Roman"/>
                <w:sz w:val="24"/>
                <w:szCs w:val="24"/>
              </w:rPr>
            </w:pPr>
          </w:p>
        </w:tc>
      </w:tr>
      <w:tr w:rsidR="00E01657" w14:paraId="728678DA" w14:textId="77777777" w:rsidTr="00A4709C">
        <w:tc>
          <w:tcPr>
            <w:tcW w:w="3775" w:type="dxa"/>
          </w:tcPr>
          <w:p w14:paraId="6BED566B"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1.6 Komisija. Tvirtinama vadovo. Esant poreikiui ir didelėms apimtims sudaromos dvi, mažos vertės pirkimams atskira ir bendra. Yra rekomendacijos kas turi sudaryti komisiją ir kokius dokumentus komisija turi pasirašyti dėl konfidencialumo ir privačių interesų.</w:t>
            </w:r>
          </w:p>
        </w:tc>
        <w:tc>
          <w:tcPr>
            <w:tcW w:w="1620" w:type="dxa"/>
          </w:tcPr>
          <w:p w14:paraId="0B192EBA" w14:textId="77777777" w:rsidR="00E01657" w:rsidRDefault="00E01657" w:rsidP="00A4709C">
            <w:pPr>
              <w:spacing w:line="276" w:lineRule="auto"/>
              <w:rPr>
                <w:rFonts w:ascii="Times New Roman" w:hAnsi="Times New Roman" w:cs="Times New Roman"/>
                <w:sz w:val="24"/>
                <w:szCs w:val="24"/>
              </w:rPr>
            </w:pPr>
          </w:p>
        </w:tc>
        <w:tc>
          <w:tcPr>
            <w:tcW w:w="1617" w:type="dxa"/>
          </w:tcPr>
          <w:p w14:paraId="60223FC1" w14:textId="77777777" w:rsidR="00E01657" w:rsidRDefault="00E01657" w:rsidP="00A4709C">
            <w:pPr>
              <w:spacing w:line="276" w:lineRule="auto"/>
              <w:rPr>
                <w:rFonts w:ascii="Times New Roman" w:hAnsi="Times New Roman" w:cs="Times New Roman"/>
                <w:sz w:val="24"/>
                <w:szCs w:val="24"/>
              </w:rPr>
            </w:pPr>
          </w:p>
        </w:tc>
        <w:tc>
          <w:tcPr>
            <w:tcW w:w="2338" w:type="dxa"/>
          </w:tcPr>
          <w:p w14:paraId="1CF4B312" w14:textId="77777777" w:rsidR="00E01657" w:rsidRDefault="00E01657" w:rsidP="00A4709C">
            <w:pPr>
              <w:spacing w:line="276" w:lineRule="auto"/>
              <w:rPr>
                <w:rFonts w:ascii="Times New Roman" w:hAnsi="Times New Roman" w:cs="Times New Roman"/>
                <w:sz w:val="24"/>
                <w:szCs w:val="24"/>
              </w:rPr>
            </w:pPr>
          </w:p>
        </w:tc>
      </w:tr>
      <w:tr w:rsidR="00E01657" w14:paraId="67B8DCAA" w14:textId="77777777" w:rsidTr="00A4709C">
        <w:tc>
          <w:tcPr>
            <w:tcW w:w="3775" w:type="dxa"/>
          </w:tcPr>
          <w:p w14:paraId="2BD72FB1"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1.7 Pirkimo procedūros (pradžia, pabaiga).</w:t>
            </w:r>
          </w:p>
        </w:tc>
        <w:tc>
          <w:tcPr>
            <w:tcW w:w="1620" w:type="dxa"/>
          </w:tcPr>
          <w:p w14:paraId="794D73BC" w14:textId="77777777" w:rsidR="00E01657" w:rsidRDefault="00E01657" w:rsidP="00A4709C">
            <w:pPr>
              <w:spacing w:line="276" w:lineRule="auto"/>
              <w:rPr>
                <w:rFonts w:ascii="Times New Roman" w:hAnsi="Times New Roman" w:cs="Times New Roman"/>
                <w:sz w:val="24"/>
                <w:szCs w:val="24"/>
              </w:rPr>
            </w:pPr>
          </w:p>
        </w:tc>
        <w:tc>
          <w:tcPr>
            <w:tcW w:w="1617" w:type="dxa"/>
          </w:tcPr>
          <w:p w14:paraId="2B5DFCB8" w14:textId="77777777" w:rsidR="00E01657" w:rsidRDefault="00E01657" w:rsidP="00A4709C">
            <w:pPr>
              <w:spacing w:line="276" w:lineRule="auto"/>
              <w:rPr>
                <w:rFonts w:ascii="Times New Roman" w:hAnsi="Times New Roman" w:cs="Times New Roman"/>
                <w:sz w:val="24"/>
                <w:szCs w:val="24"/>
              </w:rPr>
            </w:pPr>
          </w:p>
        </w:tc>
        <w:tc>
          <w:tcPr>
            <w:tcW w:w="2338" w:type="dxa"/>
          </w:tcPr>
          <w:p w14:paraId="4FB4D76A" w14:textId="77777777" w:rsidR="00E01657" w:rsidRDefault="00E01657" w:rsidP="00A4709C">
            <w:pPr>
              <w:spacing w:line="276" w:lineRule="auto"/>
              <w:rPr>
                <w:rFonts w:ascii="Times New Roman" w:hAnsi="Times New Roman" w:cs="Times New Roman"/>
                <w:sz w:val="24"/>
                <w:szCs w:val="24"/>
              </w:rPr>
            </w:pPr>
          </w:p>
        </w:tc>
      </w:tr>
      <w:tr w:rsidR="00E01657" w14:paraId="2D7B3CC2" w14:textId="77777777" w:rsidTr="00A4709C">
        <w:tc>
          <w:tcPr>
            <w:tcW w:w="3775" w:type="dxa"/>
          </w:tcPr>
          <w:p w14:paraId="39F659D3"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1.8 Pirkimo skelbimai, kaip jie sudaromi ir talpinami. Yra </w:t>
            </w:r>
            <w:proofErr w:type="spellStart"/>
            <w:r>
              <w:rPr>
                <w:rFonts w:ascii="Times New Roman" w:hAnsi="Times New Roman" w:cs="Times New Roman"/>
                <w:sz w:val="24"/>
                <w:szCs w:val="24"/>
              </w:rPr>
              <w:t>demo</w:t>
            </w:r>
            <w:proofErr w:type="spellEnd"/>
            <w:r>
              <w:rPr>
                <w:rFonts w:ascii="Times New Roman" w:hAnsi="Times New Roman" w:cs="Times New Roman"/>
                <w:sz w:val="24"/>
                <w:szCs w:val="24"/>
              </w:rPr>
              <w:t xml:space="preserve"> versija.</w:t>
            </w:r>
          </w:p>
        </w:tc>
        <w:tc>
          <w:tcPr>
            <w:tcW w:w="1620" w:type="dxa"/>
          </w:tcPr>
          <w:p w14:paraId="3AE0B4FE" w14:textId="77777777" w:rsidR="00E01657" w:rsidRDefault="00E01657" w:rsidP="00A4709C">
            <w:pPr>
              <w:spacing w:line="276" w:lineRule="auto"/>
              <w:rPr>
                <w:rFonts w:ascii="Times New Roman" w:hAnsi="Times New Roman" w:cs="Times New Roman"/>
                <w:sz w:val="24"/>
                <w:szCs w:val="24"/>
              </w:rPr>
            </w:pPr>
          </w:p>
        </w:tc>
        <w:tc>
          <w:tcPr>
            <w:tcW w:w="1617" w:type="dxa"/>
          </w:tcPr>
          <w:p w14:paraId="598C36BC" w14:textId="77777777" w:rsidR="00E01657" w:rsidRDefault="00E01657" w:rsidP="00A4709C">
            <w:pPr>
              <w:spacing w:line="276" w:lineRule="auto"/>
              <w:rPr>
                <w:rFonts w:ascii="Times New Roman" w:hAnsi="Times New Roman" w:cs="Times New Roman"/>
                <w:sz w:val="24"/>
                <w:szCs w:val="24"/>
              </w:rPr>
            </w:pPr>
          </w:p>
        </w:tc>
        <w:tc>
          <w:tcPr>
            <w:tcW w:w="2338" w:type="dxa"/>
          </w:tcPr>
          <w:p w14:paraId="731CA88E" w14:textId="77777777" w:rsidR="00E01657" w:rsidRDefault="00E01657" w:rsidP="00A4709C">
            <w:pPr>
              <w:spacing w:line="276" w:lineRule="auto"/>
              <w:rPr>
                <w:rFonts w:ascii="Times New Roman" w:hAnsi="Times New Roman" w:cs="Times New Roman"/>
                <w:sz w:val="24"/>
                <w:szCs w:val="24"/>
              </w:rPr>
            </w:pPr>
          </w:p>
        </w:tc>
      </w:tr>
      <w:tr w:rsidR="00E01657" w14:paraId="3D93A04C" w14:textId="77777777" w:rsidTr="00A4709C">
        <w:tc>
          <w:tcPr>
            <w:tcW w:w="3775" w:type="dxa"/>
          </w:tcPr>
          <w:p w14:paraId="6BD6AAFA"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1.9 Techninės specifikacijos parengimas ir kito pirkimo dokumentai.</w:t>
            </w:r>
          </w:p>
        </w:tc>
        <w:tc>
          <w:tcPr>
            <w:tcW w:w="1620" w:type="dxa"/>
          </w:tcPr>
          <w:p w14:paraId="256A241F" w14:textId="77777777" w:rsidR="00E01657" w:rsidRDefault="00E01657" w:rsidP="00A4709C">
            <w:pPr>
              <w:spacing w:line="276" w:lineRule="auto"/>
              <w:rPr>
                <w:rFonts w:ascii="Times New Roman" w:hAnsi="Times New Roman" w:cs="Times New Roman"/>
                <w:sz w:val="24"/>
                <w:szCs w:val="24"/>
              </w:rPr>
            </w:pPr>
          </w:p>
        </w:tc>
        <w:tc>
          <w:tcPr>
            <w:tcW w:w="1617" w:type="dxa"/>
          </w:tcPr>
          <w:p w14:paraId="73F870EE" w14:textId="77777777" w:rsidR="00E01657" w:rsidRDefault="00E01657" w:rsidP="00A4709C">
            <w:pPr>
              <w:spacing w:line="276" w:lineRule="auto"/>
              <w:rPr>
                <w:rFonts w:ascii="Times New Roman" w:hAnsi="Times New Roman" w:cs="Times New Roman"/>
                <w:sz w:val="24"/>
                <w:szCs w:val="24"/>
              </w:rPr>
            </w:pPr>
          </w:p>
        </w:tc>
        <w:tc>
          <w:tcPr>
            <w:tcW w:w="2338" w:type="dxa"/>
          </w:tcPr>
          <w:p w14:paraId="1D115918" w14:textId="77777777" w:rsidR="00E01657" w:rsidRDefault="00E01657" w:rsidP="00A4709C">
            <w:pPr>
              <w:spacing w:line="276" w:lineRule="auto"/>
              <w:rPr>
                <w:rFonts w:ascii="Times New Roman" w:hAnsi="Times New Roman" w:cs="Times New Roman"/>
                <w:sz w:val="24"/>
                <w:szCs w:val="24"/>
              </w:rPr>
            </w:pPr>
          </w:p>
        </w:tc>
      </w:tr>
      <w:tr w:rsidR="00E01657" w14:paraId="2699C57E" w14:textId="77777777" w:rsidTr="00A4709C">
        <w:tc>
          <w:tcPr>
            <w:tcW w:w="3775" w:type="dxa"/>
          </w:tcPr>
          <w:p w14:paraId="63794E63"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1.10 Tiekėjo paraiškos teikimas, vertinimas, kvalifikacijos tikrinimas</w:t>
            </w:r>
            <w:bookmarkStart w:id="1" w:name="part_e295bcf811924f0aa1313c3a3598bffa"/>
            <w:bookmarkStart w:id="2" w:name="part_e09acd3299dd4bf8adc4e8c6469991b3"/>
            <w:bookmarkEnd w:id="1"/>
            <w:bookmarkEnd w:id="2"/>
            <w:r>
              <w:rPr>
                <w:rFonts w:ascii="Times New Roman" w:hAnsi="Times New Roman" w:cs="Times New Roman"/>
                <w:sz w:val="24"/>
                <w:szCs w:val="24"/>
              </w:rPr>
              <w:t>.</w:t>
            </w:r>
          </w:p>
        </w:tc>
        <w:tc>
          <w:tcPr>
            <w:tcW w:w="1620" w:type="dxa"/>
          </w:tcPr>
          <w:p w14:paraId="3FC11072" w14:textId="77777777" w:rsidR="00E01657" w:rsidRDefault="00E01657" w:rsidP="00A4709C">
            <w:pPr>
              <w:spacing w:line="276" w:lineRule="auto"/>
              <w:rPr>
                <w:rFonts w:ascii="Times New Roman" w:hAnsi="Times New Roman" w:cs="Times New Roman"/>
                <w:sz w:val="24"/>
                <w:szCs w:val="24"/>
              </w:rPr>
            </w:pPr>
          </w:p>
        </w:tc>
        <w:tc>
          <w:tcPr>
            <w:tcW w:w="1617" w:type="dxa"/>
          </w:tcPr>
          <w:p w14:paraId="6CA0AF24" w14:textId="77777777" w:rsidR="00E01657" w:rsidRDefault="00E01657" w:rsidP="00A4709C">
            <w:pPr>
              <w:spacing w:line="276" w:lineRule="auto"/>
              <w:rPr>
                <w:rFonts w:ascii="Times New Roman" w:hAnsi="Times New Roman" w:cs="Times New Roman"/>
                <w:sz w:val="24"/>
                <w:szCs w:val="24"/>
              </w:rPr>
            </w:pPr>
          </w:p>
        </w:tc>
        <w:tc>
          <w:tcPr>
            <w:tcW w:w="2338" w:type="dxa"/>
          </w:tcPr>
          <w:p w14:paraId="6B6BEE16" w14:textId="77777777" w:rsidR="00E01657" w:rsidRDefault="00E01657" w:rsidP="00A4709C">
            <w:pPr>
              <w:spacing w:line="276" w:lineRule="auto"/>
              <w:rPr>
                <w:rFonts w:ascii="Times New Roman" w:hAnsi="Times New Roman" w:cs="Times New Roman"/>
                <w:sz w:val="24"/>
                <w:szCs w:val="24"/>
              </w:rPr>
            </w:pPr>
          </w:p>
        </w:tc>
      </w:tr>
      <w:tr w:rsidR="00E01657" w14:paraId="09118034" w14:textId="77777777" w:rsidTr="00A4709C">
        <w:tc>
          <w:tcPr>
            <w:tcW w:w="3775" w:type="dxa"/>
          </w:tcPr>
          <w:p w14:paraId="743A4438" w14:textId="77777777" w:rsidR="00E01657" w:rsidRPr="00B00B4B" w:rsidRDefault="00E01657" w:rsidP="00A4709C">
            <w:pPr>
              <w:spacing w:line="276" w:lineRule="auto"/>
              <w:rPr>
                <w:rFonts w:ascii="Times New Roman" w:hAnsi="Times New Roman" w:cs="Times New Roman"/>
                <w:b/>
                <w:bCs/>
                <w:sz w:val="24"/>
                <w:szCs w:val="24"/>
              </w:rPr>
            </w:pPr>
            <w:r w:rsidRPr="00B00B4B">
              <w:rPr>
                <w:rFonts w:ascii="Times New Roman" w:hAnsi="Times New Roman" w:cs="Times New Roman"/>
                <w:b/>
                <w:bCs/>
                <w:sz w:val="24"/>
                <w:szCs w:val="24"/>
              </w:rPr>
              <w:t>2. Pirkimų vykdymas:</w:t>
            </w:r>
          </w:p>
        </w:tc>
        <w:tc>
          <w:tcPr>
            <w:tcW w:w="1620" w:type="dxa"/>
          </w:tcPr>
          <w:p w14:paraId="7A580330" w14:textId="77777777" w:rsidR="00E01657" w:rsidRDefault="00E01657" w:rsidP="00A4709C">
            <w:pPr>
              <w:spacing w:line="276" w:lineRule="auto"/>
              <w:rPr>
                <w:rFonts w:ascii="Times New Roman" w:hAnsi="Times New Roman" w:cs="Times New Roman"/>
                <w:sz w:val="24"/>
                <w:szCs w:val="24"/>
              </w:rPr>
            </w:pPr>
          </w:p>
        </w:tc>
        <w:tc>
          <w:tcPr>
            <w:tcW w:w="1617" w:type="dxa"/>
          </w:tcPr>
          <w:p w14:paraId="1D7F498B" w14:textId="77777777" w:rsidR="00E01657" w:rsidRDefault="00E01657" w:rsidP="00A4709C">
            <w:pPr>
              <w:spacing w:line="276" w:lineRule="auto"/>
              <w:rPr>
                <w:rFonts w:ascii="Times New Roman" w:hAnsi="Times New Roman" w:cs="Times New Roman"/>
                <w:sz w:val="24"/>
                <w:szCs w:val="24"/>
              </w:rPr>
            </w:pPr>
          </w:p>
        </w:tc>
        <w:tc>
          <w:tcPr>
            <w:tcW w:w="2338" w:type="dxa"/>
          </w:tcPr>
          <w:p w14:paraId="37350BC6" w14:textId="77777777" w:rsidR="00E01657" w:rsidRDefault="00E01657" w:rsidP="00A4709C">
            <w:pPr>
              <w:spacing w:line="276" w:lineRule="auto"/>
              <w:rPr>
                <w:rFonts w:ascii="Times New Roman" w:hAnsi="Times New Roman" w:cs="Times New Roman"/>
                <w:sz w:val="24"/>
                <w:szCs w:val="24"/>
              </w:rPr>
            </w:pPr>
          </w:p>
        </w:tc>
      </w:tr>
      <w:tr w:rsidR="00E01657" w14:paraId="229C9A18" w14:textId="77777777" w:rsidTr="00A4709C">
        <w:tc>
          <w:tcPr>
            <w:tcW w:w="3775" w:type="dxa"/>
          </w:tcPr>
          <w:p w14:paraId="7F6FF320"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2.1 Pirkimų vertė, jos nustatymas.</w:t>
            </w:r>
          </w:p>
        </w:tc>
        <w:tc>
          <w:tcPr>
            <w:tcW w:w="1620" w:type="dxa"/>
          </w:tcPr>
          <w:p w14:paraId="04CF0139" w14:textId="77777777" w:rsidR="00E01657" w:rsidRDefault="00E01657" w:rsidP="00A4709C">
            <w:pPr>
              <w:spacing w:line="276" w:lineRule="auto"/>
              <w:rPr>
                <w:rFonts w:ascii="Times New Roman" w:hAnsi="Times New Roman" w:cs="Times New Roman"/>
                <w:sz w:val="24"/>
                <w:szCs w:val="24"/>
              </w:rPr>
            </w:pPr>
          </w:p>
        </w:tc>
        <w:tc>
          <w:tcPr>
            <w:tcW w:w="1617" w:type="dxa"/>
          </w:tcPr>
          <w:p w14:paraId="146E9F15" w14:textId="77777777" w:rsidR="00E01657" w:rsidRDefault="00E01657" w:rsidP="00A4709C">
            <w:pPr>
              <w:spacing w:line="276" w:lineRule="auto"/>
              <w:rPr>
                <w:rFonts w:ascii="Times New Roman" w:hAnsi="Times New Roman" w:cs="Times New Roman"/>
                <w:sz w:val="24"/>
                <w:szCs w:val="24"/>
              </w:rPr>
            </w:pPr>
          </w:p>
        </w:tc>
        <w:tc>
          <w:tcPr>
            <w:tcW w:w="2338" w:type="dxa"/>
          </w:tcPr>
          <w:p w14:paraId="72D9A505" w14:textId="77777777" w:rsidR="00E01657" w:rsidRDefault="00E01657" w:rsidP="00A4709C">
            <w:pPr>
              <w:spacing w:line="276" w:lineRule="auto"/>
              <w:rPr>
                <w:rFonts w:ascii="Times New Roman" w:hAnsi="Times New Roman" w:cs="Times New Roman"/>
                <w:sz w:val="24"/>
                <w:szCs w:val="24"/>
              </w:rPr>
            </w:pPr>
          </w:p>
        </w:tc>
      </w:tr>
      <w:tr w:rsidR="00E01657" w14:paraId="0D3660A3" w14:textId="77777777" w:rsidTr="00A4709C">
        <w:tc>
          <w:tcPr>
            <w:tcW w:w="3775" w:type="dxa"/>
          </w:tcPr>
          <w:p w14:paraId="6CD04622"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2.2 Pirkimų ypatumai.</w:t>
            </w:r>
          </w:p>
        </w:tc>
        <w:tc>
          <w:tcPr>
            <w:tcW w:w="1620" w:type="dxa"/>
          </w:tcPr>
          <w:p w14:paraId="0D1F8821" w14:textId="77777777" w:rsidR="00E01657" w:rsidRDefault="00E01657" w:rsidP="00A4709C">
            <w:pPr>
              <w:spacing w:line="276" w:lineRule="auto"/>
              <w:rPr>
                <w:rFonts w:ascii="Times New Roman" w:hAnsi="Times New Roman" w:cs="Times New Roman"/>
                <w:sz w:val="24"/>
                <w:szCs w:val="24"/>
              </w:rPr>
            </w:pPr>
          </w:p>
        </w:tc>
        <w:tc>
          <w:tcPr>
            <w:tcW w:w="1617" w:type="dxa"/>
          </w:tcPr>
          <w:p w14:paraId="0DB6248C" w14:textId="77777777" w:rsidR="00E01657" w:rsidRDefault="00E01657" w:rsidP="00A4709C">
            <w:pPr>
              <w:spacing w:line="276" w:lineRule="auto"/>
              <w:rPr>
                <w:rFonts w:ascii="Times New Roman" w:hAnsi="Times New Roman" w:cs="Times New Roman"/>
                <w:sz w:val="24"/>
                <w:szCs w:val="24"/>
              </w:rPr>
            </w:pPr>
          </w:p>
        </w:tc>
        <w:tc>
          <w:tcPr>
            <w:tcW w:w="2338" w:type="dxa"/>
          </w:tcPr>
          <w:p w14:paraId="1FA4B812" w14:textId="77777777" w:rsidR="00E01657" w:rsidRDefault="00E01657" w:rsidP="00A4709C">
            <w:pPr>
              <w:spacing w:line="276" w:lineRule="auto"/>
              <w:rPr>
                <w:rFonts w:ascii="Times New Roman" w:hAnsi="Times New Roman" w:cs="Times New Roman"/>
                <w:sz w:val="24"/>
                <w:szCs w:val="24"/>
              </w:rPr>
            </w:pPr>
          </w:p>
        </w:tc>
      </w:tr>
      <w:tr w:rsidR="00E01657" w14:paraId="2FA97760" w14:textId="77777777" w:rsidTr="00A4709C">
        <w:tc>
          <w:tcPr>
            <w:tcW w:w="3775" w:type="dxa"/>
          </w:tcPr>
          <w:p w14:paraId="7A25F560"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2.3 Pirkimo būdai, jų pasirinkimas.</w:t>
            </w:r>
          </w:p>
        </w:tc>
        <w:tc>
          <w:tcPr>
            <w:tcW w:w="1620" w:type="dxa"/>
          </w:tcPr>
          <w:p w14:paraId="1D434B81" w14:textId="77777777" w:rsidR="00E01657" w:rsidRDefault="00E01657" w:rsidP="00A4709C">
            <w:pPr>
              <w:spacing w:line="276" w:lineRule="auto"/>
              <w:rPr>
                <w:rFonts w:ascii="Times New Roman" w:hAnsi="Times New Roman" w:cs="Times New Roman"/>
                <w:sz w:val="24"/>
                <w:szCs w:val="24"/>
              </w:rPr>
            </w:pPr>
          </w:p>
        </w:tc>
        <w:tc>
          <w:tcPr>
            <w:tcW w:w="1617" w:type="dxa"/>
          </w:tcPr>
          <w:p w14:paraId="39B44F6F" w14:textId="77777777" w:rsidR="00E01657" w:rsidRDefault="00E01657" w:rsidP="00A4709C">
            <w:pPr>
              <w:spacing w:line="276" w:lineRule="auto"/>
              <w:rPr>
                <w:rFonts w:ascii="Times New Roman" w:hAnsi="Times New Roman" w:cs="Times New Roman"/>
                <w:sz w:val="24"/>
                <w:szCs w:val="24"/>
              </w:rPr>
            </w:pPr>
          </w:p>
        </w:tc>
        <w:tc>
          <w:tcPr>
            <w:tcW w:w="2338" w:type="dxa"/>
          </w:tcPr>
          <w:p w14:paraId="5558184F" w14:textId="77777777" w:rsidR="00E01657" w:rsidRDefault="00E01657" w:rsidP="00A4709C">
            <w:pPr>
              <w:spacing w:line="276" w:lineRule="auto"/>
              <w:rPr>
                <w:rFonts w:ascii="Times New Roman" w:hAnsi="Times New Roman" w:cs="Times New Roman"/>
                <w:sz w:val="24"/>
                <w:szCs w:val="24"/>
              </w:rPr>
            </w:pPr>
          </w:p>
        </w:tc>
      </w:tr>
      <w:tr w:rsidR="00E01657" w14:paraId="7CDAD43C" w14:textId="77777777" w:rsidTr="00A4709C">
        <w:tc>
          <w:tcPr>
            <w:tcW w:w="3775" w:type="dxa"/>
          </w:tcPr>
          <w:p w14:paraId="13556E34" w14:textId="77777777" w:rsidR="00E01657" w:rsidRDefault="00E01657" w:rsidP="00A4709C">
            <w:pPr>
              <w:spacing w:line="276" w:lineRule="auto"/>
              <w:rPr>
                <w:rFonts w:ascii="Times New Roman" w:hAnsi="Times New Roman" w:cs="Times New Roman"/>
                <w:sz w:val="24"/>
                <w:szCs w:val="24"/>
              </w:rPr>
            </w:pPr>
            <w:r>
              <w:rPr>
                <w:rFonts w:ascii="Times New Roman" w:hAnsi="Times New Roman" w:cs="Times New Roman"/>
                <w:sz w:val="24"/>
                <w:szCs w:val="24"/>
              </w:rPr>
              <w:t>2.4 Pirkimo sutarties sudarymas ir vykdymas.</w:t>
            </w:r>
          </w:p>
        </w:tc>
        <w:tc>
          <w:tcPr>
            <w:tcW w:w="1620" w:type="dxa"/>
          </w:tcPr>
          <w:p w14:paraId="4F716993" w14:textId="77777777" w:rsidR="00E01657" w:rsidRDefault="00E01657" w:rsidP="00A4709C">
            <w:pPr>
              <w:spacing w:line="276" w:lineRule="auto"/>
              <w:rPr>
                <w:rFonts w:ascii="Times New Roman" w:hAnsi="Times New Roman" w:cs="Times New Roman"/>
                <w:sz w:val="24"/>
                <w:szCs w:val="24"/>
              </w:rPr>
            </w:pPr>
          </w:p>
        </w:tc>
        <w:tc>
          <w:tcPr>
            <w:tcW w:w="1617" w:type="dxa"/>
          </w:tcPr>
          <w:p w14:paraId="4CEC1E71" w14:textId="77777777" w:rsidR="00E01657" w:rsidRDefault="00E01657" w:rsidP="00A4709C">
            <w:pPr>
              <w:spacing w:line="276" w:lineRule="auto"/>
              <w:rPr>
                <w:rFonts w:ascii="Times New Roman" w:hAnsi="Times New Roman" w:cs="Times New Roman"/>
                <w:sz w:val="24"/>
                <w:szCs w:val="24"/>
              </w:rPr>
            </w:pPr>
          </w:p>
        </w:tc>
        <w:tc>
          <w:tcPr>
            <w:tcW w:w="2338" w:type="dxa"/>
          </w:tcPr>
          <w:p w14:paraId="1958C06D" w14:textId="77777777" w:rsidR="00E01657" w:rsidRDefault="00E01657" w:rsidP="00A4709C">
            <w:pPr>
              <w:spacing w:line="276" w:lineRule="auto"/>
              <w:rPr>
                <w:rFonts w:ascii="Times New Roman" w:hAnsi="Times New Roman" w:cs="Times New Roman"/>
                <w:sz w:val="24"/>
                <w:szCs w:val="24"/>
              </w:rPr>
            </w:pPr>
          </w:p>
        </w:tc>
      </w:tr>
      <w:bookmarkEnd w:id="0"/>
    </w:tbl>
    <w:p w14:paraId="4238D5D6" w14:textId="77777777" w:rsidR="00672831" w:rsidRDefault="00000000"/>
    <w:sectPr w:rsidR="0067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D5"/>
    <w:rsid w:val="007002D5"/>
    <w:rsid w:val="008737E4"/>
    <w:rsid w:val="00D555FC"/>
    <w:rsid w:val="00E01657"/>
    <w:rsid w:val="00E7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98FC"/>
  <w15:chartTrackingRefBased/>
  <w15:docId w15:val="{6686D6D3-7243-43E0-AC7C-724E90DA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5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Strakalaitytė | NSA</dc:creator>
  <cp:keywords/>
  <dc:description/>
  <cp:lastModifiedBy>Brigita Virbalytė | NSA</cp:lastModifiedBy>
  <cp:revision>2</cp:revision>
  <dcterms:created xsi:type="dcterms:W3CDTF">2023-01-19T04:41:00Z</dcterms:created>
  <dcterms:modified xsi:type="dcterms:W3CDTF">2023-01-19T04:41:00Z</dcterms:modified>
</cp:coreProperties>
</file>